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6508D" w14:textId="2AE0ABC4" w:rsidR="002663C8" w:rsidRDefault="006272D8" w:rsidP="002B0CE3">
      <w:pPr>
        <w:jc w:val="both"/>
        <w:rPr>
          <w:b/>
          <w:lang w:val="vi-VN"/>
        </w:rPr>
      </w:pPr>
      <w:r>
        <w:rPr>
          <w:lang w:val="vi-VN"/>
        </w:rPr>
        <w:tab/>
      </w:r>
      <w:r>
        <w:rPr>
          <w:b/>
          <w:lang w:val="vi-VN"/>
        </w:rPr>
        <w:tab/>
      </w:r>
      <w:r w:rsidR="002B0CE3">
        <w:rPr>
          <w:b/>
          <w:lang w:val="vi-VN"/>
        </w:rPr>
        <w:tab/>
      </w:r>
      <w:r w:rsidR="002B0CE3">
        <w:rPr>
          <w:b/>
          <w:lang w:val="vi-VN"/>
        </w:rPr>
        <w:tab/>
      </w:r>
      <w:r w:rsidR="002B0CE3">
        <w:rPr>
          <w:b/>
          <w:lang w:val="vi-VN"/>
        </w:rPr>
        <w:tab/>
        <w:t xml:space="preserve">Phụ lục </w:t>
      </w:r>
    </w:p>
    <w:p w14:paraId="4CEF6A8D" w14:textId="77777777" w:rsidR="002B0CE3" w:rsidRDefault="002B0CE3" w:rsidP="00313585">
      <w:pPr>
        <w:jc w:val="center"/>
        <w:rPr>
          <w:b/>
          <w:lang w:val="vi-VN"/>
        </w:rPr>
      </w:pPr>
      <w:r>
        <w:rPr>
          <w:b/>
          <w:lang w:val="vi-VN"/>
        </w:rPr>
        <w:t>Đề xuất đăng ký đối tượng có nhu cầu tiêm vắc xin</w:t>
      </w:r>
    </w:p>
    <w:p w14:paraId="7F9BBF20" w14:textId="6B6729CD" w:rsidR="002B0CE3" w:rsidRDefault="002B0CE3" w:rsidP="00313585">
      <w:pPr>
        <w:jc w:val="center"/>
        <w:rPr>
          <w:b/>
          <w:lang w:val="vi-VN"/>
        </w:rPr>
      </w:pPr>
      <w:r>
        <w:rPr>
          <w:b/>
          <w:lang w:val="vi-VN"/>
        </w:rPr>
        <w:t>sởi/có chứa thành phần sởi</w:t>
      </w:r>
    </w:p>
    <w:p w14:paraId="6BFC31D5" w14:textId="78D0477F" w:rsidR="002B0CE3" w:rsidRDefault="00FA30AD" w:rsidP="00313585">
      <w:pPr>
        <w:jc w:val="center"/>
        <w:rPr>
          <w:i/>
          <w:lang w:val="vi-VN"/>
        </w:rPr>
      </w:pPr>
      <w:r>
        <w:rPr>
          <w:i/>
          <w:lang w:val="vi-VN"/>
        </w:rPr>
        <w:t>(kèm theo Công văn số    /</w:t>
      </w:r>
      <w:r>
        <w:rPr>
          <w:i/>
        </w:rPr>
        <w:t>SYT</w:t>
      </w:r>
      <w:r>
        <w:rPr>
          <w:i/>
          <w:lang w:val="vi-VN"/>
        </w:rPr>
        <w:t>-</w:t>
      </w:r>
      <w:r>
        <w:rPr>
          <w:i/>
        </w:rPr>
        <w:t xml:space="preserve">NVYD </w:t>
      </w:r>
      <w:bookmarkStart w:id="0" w:name="_GoBack"/>
      <w:bookmarkEnd w:id="0"/>
      <w:r w:rsidR="002B0CE3" w:rsidRPr="002B0CE3">
        <w:rPr>
          <w:i/>
          <w:lang w:val="vi-VN"/>
        </w:rPr>
        <w:t xml:space="preserve"> ngày     tháng  năm 2025)</w:t>
      </w:r>
    </w:p>
    <w:p w14:paraId="2D07E219" w14:textId="77777777" w:rsidR="002B0CE3" w:rsidRPr="002B0CE3" w:rsidRDefault="002B0CE3" w:rsidP="00313585">
      <w:pPr>
        <w:jc w:val="center"/>
        <w:rPr>
          <w:i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2409"/>
        <w:gridCol w:w="3399"/>
      </w:tblGrid>
      <w:tr w:rsidR="002B0CE3" w14:paraId="4AD15A13" w14:textId="77777777" w:rsidTr="002B0CE3">
        <w:tc>
          <w:tcPr>
            <w:tcW w:w="1271" w:type="dxa"/>
          </w:tcPr>
          <w:p w14:paraId="61EB8BED" w14:textId="17D776C5" w:rsidR="002B0CE3" w:rsidRPr="002B0CE3" w:rsidRDefault="002B0CE3" w:rsidP="00313585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2B0CE3">
              <w:rPr>
                <w:b/>
                <w:sz w:val="26"/>
                <w:szCs w:val="26"/>
                <w:lang w:val="vi-VN"/>
              </w:rPr>
              <w:t>TT</w:t>
            </w:r>
          </w:p>
        </w:tc>
        <w:tc>
          <w:tcPr>
            <w:tcW w:w="1985" w:type="dxa"/>
          </w:tcPr>
          <w:p w14:paraId="3E3B363D" w14:textId="77777777" w:rsidR="002B0CE3" w:rsidRDefault="002B0CE3" w:rsidP="00313585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2B0CE3">
              <w:rPr>
                <w:b/>
                <w:sz w:val="26"/>
                <w:szCs w:val="26"/>
                <w:lang w:val="vi-VN"/>
              </w:rPr>
              <w:t>Địa phương</w:t>
            </w:r>
          </w:p>
          <w:p w14:paraId="2463E209" w14:textId="5BD0D358" w:rsidR="002B0CE3" w:rsidRPr="002B0CE3" w:rsidRDefault="002B0CE3" w:rsidP="00313585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tỉnh/quận/xã, phường</w:t>
            </w:r>
          </w:p>
        </w:tc>
        <w:tc>
          <w:tcPr>
            <w:tcW w:w="2409" w:type="dxa"/>
          </w:tcPr>
          <w:p w14:paraId="082A47B6" w14:textId="661745B7" w:rsidR="002B0CE3" w:rsidRDefault="002B0CE3" w:rsidP="00313585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Tổng số t</w:t>
            </w:r>
            <w:r w:rsidRPr="002B0CE3">
              <w:rPr>
                <w:b/>
                <w:sz w:val="26"/>
                <w:szCs w:val="26"/>
                <w:lang w:val="vi-VN"/>
              </w:rPr>
              <w:t>rẻ từ 11</w:t>
            </w:r>
          </w:p>
          <w:p w14:paraId="26E32C11" w14:textId="4B6E58A5" w:rsidR="002B0CE3" w:rsidRPr="002B0CE3" w:rsidRDefault="002B0CE3" w:rsidP="00313585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đến 15 </w:t>
            </w:r>
            <w:r w:rsidRPr="002B0CE3">
              <w:rPr>
                <w:b/>
                <w:sz w:val="26"/>
                <w:szCs w:val="26"/>
                <w:lang w:val="vi-VN"/>
              </w:rPr>
              <w:t>tuổi</w:t>
            </w:r>
            <w:r>
              <w:rPr>
                <w:b/>
                <w:sz w:val="26"/>
                <w:szCs w:val="26"/>
                <w:lang w:val="vi-VN"/>
              </w:rPr>
              <w:t>*</w:t>
            </w:r>
          </w:p>
        </w:tc>
        <w:tc>
          <w:tcPr>
            <w:tcW w:w="3399" w:type="dxa"/>
          </w:tcPr>
          <w:p w14:paraId="0152A05A" w14:textId="77777777" w:rsidR="002B0CE3" w:rsidRDefault="002B0CE3" w:rsidP="00313585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2B0CE3">
              <w:rPr>
                <w:b/>
                <w:sz w:val="26"/>
                <w:szCs w:val="26"/>
                <w:lang w:val="vi-VN"/>
              </w:rPr>
              <w:t xml:space="preserve">Trẻ từ 11-15 tuổi </w:t>
            </w:r>
          </w:p>
          <w:p w14:paraId="741E55E0" w14:textId="29102A92" w:rsidR="002B0CE3" w:rsidRPr="002B0CE3" w:rsidRDefault="002B0CE3" w:rsidP="00313585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2B0CE3">
              <w:rPr>
                <w:b/>
                <w:sz w:val="26"/>
                <w:szCs w:val="26"/>
                <w:lang w:val="vi-VN"/>
              </w:rPr>
              <w:t>tại vùng nguy cơ cao</w:t>
            </w:r>
            <w:r>
              <w:rPr>
                <w:b/>
                <w:sz w:val="26"/>
                <w:szCs w:val="26"/>
                <w:lang w:val="vi-VN"/>
              </w:rPr>
              <w:t>**</w:t>
            </w:r>
          </w:p>
        </w:tc>
      </w:tr>
      <w:tr w:rsidR="002B0CE3" w14:paraId="6B60419D" w14:textId="77777777" w:rsidTr="002B0CE3">
        <w:tc>
          <w:tcPr>
            <w:tcW w:w="1271" w:type="dxa"/>
          </w:tcPr>
          <w:p w14:paraId="5C7973BA" w14:textId="2279B279" w:rsidR="002B0CE3" w:rsidRPr="002B0CE3" w:rsidRDefault="002B0CE3" w:rsidP="00313585">
            <w:pPr>
              <w:jc w:val="center"/>
              <w:rPr>
                <w:lang w:val="vi-VN"/>
              </w:rPr>
            </w:pPr>
            <w:r w:rsidRPr="002B0CE3">
              <w:rPr>
                <w:lang w:val="vi-VN"/>
              </w:rPr>
              <w:t>1</w:t>
            </w:r>
          </w:p>
        </w:tc>
        <w:tc>
          <w:tcPr>
            <w:tcW w:w="1985" w:type="dxa"/>
          </w:tcPr>
          <w:p w14:paraId="3A5984D5" w14:textId="77777777" w:rsidR="002B0CE3" w:rsidRDefault="002B0CE3" w:rsidP="00313585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2409" w:type="dxa"/>
          </w:tcPr>
          <w:p w14:paraId="1749A630" w14:textId="77777777" w:rsidR="002B0CE3" w:rsidRDefault="002B0CE3" w:rsidP="00313585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3399" w:type="dxa"/>
          </w:tcPr>
          <w:p w14:paraId="7F794BDC" w14:textId="77777777" w:rsidR="002B0CE3" w:rsidRDefault="002B0CE3" w:rsidP="00313585">
            <w:pPr>
              <w:jc w:val="center"/>
              <w:rPr>
                <w:b/>
                <w:lang w:val="vi-VN"/>
              </w:rPr>
            </w:pPr>
          </w:p>
        </w:tc>
      </w:tr>
      <w:tr w:rsidR="002B0CE3" w14:paraId="27843C1B" w14:textId="77777777" w:rsidTr="002B0CE3">
        <w:tc>
          <w:tcPr>
            <w:tcW w:w="1271" w:type="dxa"/>
          </w:tcPr>
          <w:p w14:paraId="66C20644" w14:textId="31C09A2F" w:rsidR="002B0CE3" w:rsidRPr="002B0CE3" w:rsidRDefault="002B0CE3" w:rsidP="00313585">
            <w:pPr>
              <w:jc w:val="center"/>
              <w:rPr>
                <w:lang w:val="vi-VN"/>
              </w:rPr>
            </w:pPr>
            <w:r w:rsidRPr="002B0CE3">
              <w:rPr>
                <w:lang w:val="vi-VN"/>
              </w:rPr>
              <w:t>2</w:t>
            </w:r>
          </w:p>
        </w:tc>
        <w:tc>
          <w:tcPr>
            <w:tcW w:w="1985" w:type="dxa"/>
          </w:tcPr>
          <w:p w14:paraId="3C773DA3" w14:textId="77777777" w:rsidR="002B0CE3" w:rsidRDefault="002B0CE3" w:rsidP="00313585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2409" w:type="dxa"/>
          </w:tcPr>
          <w:p w14:paraId="45847560" w14:textId="77777777" w:rsidR="002B0CE3" w:rsidRDefault="002B0CE3" w:rsidP="00313585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3399" w:type="dxa"/>
          </w:tcPr>
          <w:p w14:paraId="0597B194" w14:textId="77777777" w:rsidR="002B0CE3" w:rsidRDefault="002B0CE3" w:rsidP="00313585">
            <w:pPr>
              <w:jc w:val="center"/>
              <w:rPr>
                <w:b/>
                <w:lang w:val="vi-VN"/>
              </w:rPr>
            </w:pPr>
          </w:p>
        </w:tc>
      </w:tr>
      <w:tr w:rsidR="002B0CE3" w14:paraId="02BAA619" w14:textId="77777777" w:rsidTr="002B0CE3">
        <w:tc>
          <w:tcPr>
            <w:tcW w:w="1271" w:type="dxa"/>
          </w:tcPr>
          <w:p w14:paraId="17029A46" w14:textId="44E7C8D4" w:rsidR="002B0CE3" w:rsidRPr="002B0CE3" w:rsidRDefault="002B0CE3" w:rsidP="00313585">
            <w:pPr>
              <w:jc w:val="center"/>
              <w:rPr>
                <w:lang w:val="vi-VN"/>
              </w:rPr>
            </w:pPr>
            <w:r w:rsidRPr="002B0CE3">
              <w:rPr>
                <w:lang w:val="vi-VN"/>
              </w:rPr>
              <w:t>3</w:t>
            </w:r>
          </w:p>
        </w:tc>
        <w:tc>
          <w:tcPr>
            <w:tcW w:w="1985" w:type="dxa"/>
          </w:tcPr>
          <w:p w14:paraId="59E52753" w14:textId="77777777" w:rsidR="002B0CE3" w:rsidRDefault="002B0CE3" w:rsidP="00313585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2409" w:type="dxa"/>
          </w:tcPr>
          <w:p w14:paraId="47228853" w14:textId="77777777" w:rsidR="002B0CE3" w:rsidRDefault="002B0CE3" w:rsidP="00313585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3399" w:type="dxa"/>
          </w:tcPr>
          <w:p w14:paraId="12D4A495" w14:textId="77777777" w:rsidR="002B0CE3" w:rsidRDefault="002B0CE3" w:rsidP="00313585">
            <w:pPr>
              <w:jc w:val="center"/>
              <w:rPr>
                <w:b/>
                <w:lang w:val="vi-VN"/>
              </w:rPr>
            </w:pPr>
          </w:p>
        </w:tc>
      </w:tr>
      <w:tr w:rsidR="002B0CE3" w14:paraId="631B6AFC" w14:textId="77777777" w:rsidTr="002B0CE3">
        <w:tc>
          <w:tcPr>
            <w:tcW w:w="1271" w:type="dxa"/>
          </w:tcPr>
          <w:p w14:paraId="4D82C8E0" w14:textId="0B1038FF" w:rsidR="002B0CE3" w:rsidRPr="002B0CE3" w:rsidRDefault="002B0CE3" w:rsidP="00313585">
            <w:pPr>
              <w:jc w:val="center"/>
              <w:rPr>
                <w:lang w:val="vi-VN"/>
              </w:rPr>
            </w:pPr>
            <w:r w:rsidRPr="002B0CE3">
              <w:rPr>
                <w:lang w:val="vi-VN"/>
              </w:rPr>
              <w:t>...</w:t>
            </w:r>
          </w:p>
        </w:tc>
        <w:tc>
          <w:tcPr>
            <w:tcW w:w="1985" w:type="dxa"/>
          </w:tcPr>
          <w:p w14:paraId="2D611145" w14:textId="77777777" w:rsidR="002B0CE3" w:rsidRDefault="002B0CE3" w:rsidP="00313585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2409" w:type="dxa"/>
          </w:tcPr>
          <w:p w14:paraId="7FE05104" w14:textId="77777777" w:rsidR="002B0CE3" w:rsidRDefault="002B0CE3" w:rsidP="00313585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3399" w:type="dxa"/>
          </w:tcPr>
          <w:p w14:paraId="5B90F532" w14:textId="77777777" w:rsidR="002B0CE3" w:rsidRDefault="002B0CE3" w:rsidP="00313585">
            <w:pPr>
              <w:jc w:val="center"/>
              <w:rPr>
                <w:b/>
                <w:lang w:val="vi-VN"/>
              </w:rPr>
            </w:pPr>
          </w:p>
        </w:tc>
      </w:tr>
      <w:tr w:rsidR="002B0CE3" w14:paraId="5296D07A" w14:textId="77777777" w:rsidTr="002B0CE3">
        <w:tc>
          <w:tcPr>
            <w:tcW w:w="1271" w:type="dxa"/>
          </w:tcPr>
          <w:p w14:paraId="2DE42E00" w14:textId="17BEC097" w:rsidR="002B0CE3" w:rsidRDefault="002B0CE3" w:rsidP="00313585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Tổng</w:t>
            </w:r>
          </w:p>
        </w:tc>
        <w:tc>
          <w:tcPr>
            <w:tcW w:w="1985" w:type="dxa"/>
          </w:tcPr>
          <w:p w14:paraId="25C5716C" w14:textId="75D216B9" w:rsidR="002B0CE3" w:rsidRDefault="002B0CE3" w:rsidP="00313585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2409" w:type="dxa"/>
          </w:tcPr>
          <w:p w14:paraId="229CF149" w14:textId="77777777" w:rsidR="002B0CE3" w:rsidRDefault="002B0CE3" w:rsidP="00313585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3399" w:type="dxa"/>
          </w:tcPr>
          <w:p w14:paraId="79E14812" w14:textId="77777777" w:rsidR="002B0CE3" w:rsidRDefault="002B0CE3" w:rsidP="00313585">
            <w:pPr>
              <w:jc w:val="center"/>
              <w:rPr>
                <w:b/>
                <w:lang w:val="vi-VN"/>
              </w:rPr>
            </w:pPr>
          </w:p>
        </w:tc>
      </w:tr>
    </w:tbl>
    <w:p w14:paraId="1963475D" w14:textId="791B3111" w:rsidR="002B0CE3" w:rsidRDefault="002B0CE3" w:rsidP="002B0CE3">
      <w:pPr>
        <w:jc w:val="both"/>
        <w:rPr>
          <w:i/>
          <w:color w:val="000000"/>
          <w:lang w:val="vi-VN"/>
        </w:rPr>
      </w:pPr>
      <w:r>
        <w:rPr>
          <w:color w:val="000000"/>
          <w:lang w:val="vi-VN"/>
        </w:rPr>
        <w:t xml:space="preserve">* </w:t>
      </w:r>
      <w:r w:rsidRPr="002B0CE3">
        <w:rPr>
          <w:i/>
          <w:color w:val="000000"/>
          <w:lang w:val="vi-VN"/>
        </w:rPr>
        <w:t xml:space="preserve">Trẻ </w:t>
      </w:r>
      <w:r>
        <w:rPr>
          <w:i/>
          <w:color w:val="000000"/>
          <w:lang w:val="vi-VN"/>
        </w:rPr>
        <w:t>chưa</w:t>
      </w:r>
      <w:r w:rsidRPr="002B0CE3">
        <w:rPr>
          <w:i/>
          <w:color w:val="000000"/>
          <w:lang w:val="vi-VN"/>
        </w:rPr>
        <w:t xml:space="preserve"> tiêm chủng/</w:t>
      </w:r>
      <w:r>
        <w:rPr>
          <w:i/>
          <w:color w:val="000000"/>
          <w:lang w:val="vi-VN"/>
        </w:rPr>
        <w:t>chưa tiêm đủ 2 mũi vắc xin chứa thành phần sở</w:t>
      </w:r>
      <w:r w:rsidR="0091381E">
        <w:rPr>
          <w:i/>
          <w:color w:val="000000"/>
          <w:lang w:val="vi-VN"/>
        </w:rPr>
        <w:t xml:space="preserve">i ở tất cả các tỉnh, thành phố và trẻ </w:t>
      </w:r>
      <w:r>
        <w:rPr>
          <w:i/>
          <w:color w:val="000000"/>
          <w:lang w:val="vi-VN"/>
        </w:rPr>
        <w:t xml:space="preserve">không rõ tiền sử tiêm chủng, chưa từng bị sởi, có nguyện vọng tiêm vắc xin có thành phần sởi. </w:t>
      </w:r>
    </w:p>
    <w:p w14:paraId="1B878FB0" w14:textId="5E3633AD" w:rsidR="002B0CE3" w:rsidRDefault="002B0CE3" w:rsidP="002B0CE3">
      <w:pPr>
        <w:jc w:val="both"/>
        <w:rPr>
          <w:i/>
          <w:color w:val="000000"/>
          <w:lang w:val="vi-VN"/>
        </w:rPr>
      </w:pPr>
      <w:r>
        <w:rPr>
          <w:i/>
          <w:color w:val="000000"/>
          <w:lang w:val="vi-VN"/>
        </w:rPr>
        <w:t>** Vùng nguy c</w:t>
      </w:r>
      <w:r w:rsidR="00124ED1">
        <w:rPr>
          <w:i/>
          <w:color w:val="000000"/>
          <w:lang w:val="vi-VN"/>
        </w:rPr>
        <w:t xml:space="preserve">ơ cao: Các tỉnh, thành phố căn cứ tình hình dịch sởi, đặc điểm dịch tễ của bệnh sởi tại </w:t>
      </w:r>
      <w:r w:rsidR="0081402A">
        <w:rPr>
          <w:i/>
          <w:color w:val="000000"/>
          <w:lang w:val="vi-VN"/>
        </w:rPr>
        <w:t>từng xã, huyện</w:t>
      </w:r>
      <w:r w:rsidR="00124ED1">
        <w:rPr>
          <w:i/>
          <w:color w:val="000000"/>
          <w:lang w:val="vi-VN"/>
        </w:rPr>
        <w:t xml:space="preserve"> để</w:t>
      </w:r>
      <w:r w:rsidR="00BD5AA7">
        <w:rPr>
          <w:i/>
          <w:color w:val="000000"/>
          <w:lang w:val="vi-VN"/>
        </w:rPr>
        <w:t xml:space="preserve"> xác định</w:t>
      </w:r>
      <w:r w:rsidR="00124ED1">
        <w:rPr>
          <w:i/>
          <w:color w:val="000000"/>
          <w:lang w:val="vi-VN"/>
        </w:rPr>
        <w:t xml:space="preserve"> địa bàn có nguy cơ cao xảy ra dịch sởi ở nhóm đối tượng từ 11-15 tuổi</w:t>
      </w:r>
      <w:r w:rsidR="0081402A">
        <w:rPr>
          <w:i/>
          <w:color w:val="000000"/>
          <w:lang w:val="vi-VN"/>
        </w:rPr>
        <w:t xml:space="preserve"> </w:t>
      </w:r>
      <w:r w:rsidR="00BD5AA7">
        <w:rPr>
          <w:i/>
          <w:color w:val="000000"/>
          <w:lang w:val="vi-VN"/>
        </w:rPr>
        <w:t xml:space="preserve">và số đối tượng </w:t>
      </w:r>
      <w:r w:rsidR="00E803A9">
        <w:rPr>
          <w:i/>
          <w:color w:val="000000"/>
          <w:lang w:val="vi-VN"/>
        </w:rPr>
        <w:t xml:space="preserve">cần triển khai tiêm chủng </w:t>
      </w:r>
      <w:r w:rsidR="00BD5AA7">
        <w:rPr>
          <w:i/>
          <w:color w:val="000000"/>
          <w:lang w:val="vi-VN"/>
        </w:rPr>
        <w:t>tại các vùng này</w:t>
      </w:r>
      <w:r w:rsidR="00124ED1">
        <w:rPr>
          <w:i/>
          <w:color w:val="000000"/>
          <w:lang w:val="vi-VN"/>
        </w:rPr>
        <w:t xml:space="preserve">. </w:t>
      </w:r>
    </w:p>
    <w:p w14:paraId="7D15E880" w14:textId="77777777" w:rsidR="002B0CE3" w:rsidRDefault="002B0CE3" w:rsidP="002B0CE3">
      <w:pPr>
        <w:jc w:val="both"/>
        <w:rPr>
          <w:i/>
          <w:color w:val="000000"/>
          <w:lang w:val="vi-VN"/>
        </w:rPr>
      </w:pPr>
    </w:p>
    <w:p w14:paraId="1691FF5D" w14:textId="12769B45" w:rsidR="002B0CE3" w:rsidRDefault="002B0CE3" w:rsidP="002B0CE3">
      <w:pPr>
        <w:jc w:val="both"/>
        <w:rPr>
          <w:b/>
          <w:lang w:val="vi-VN"/>
        </w:rPr>
        <w:sectPr w:rsidR="002B0CE3" w:rsidSect="0075611A">
          <w:headerReference w:type="default" r:id="rId8"/>
          <w:pgSz w:w="11909" w:h="16834" w:code="9"/>
          <w:pgMar w:top="567" w:right="1134" w:bottom="567" w:left="1701" w:header="720" w:footer="720" w:gutter="0"/>
          <w:cols w:space="60"/>
          <w:noEndnote/>
          <w:titlePg/>
          <w:docGrid w:linePitch="381"/>
        </w:sectPr>
      </w:pPr>
    </w:p>
    <w:p w14:paraId="3262F7E9" w14:textId="77777777" w:rsidR="00313585" w:rsidRPr="00313585" w:rsidRDefault="00313585" w:rsidP="0075611A">
      <w:pPr>
        <w:jc w:val="center"/>
        <w:rPr>
          <w:lang w:val="vi-VN"/>
        </w:rPr>
      </w:pPr>
    </w:p>
    <w:sectPr w:rsidR="00313585" w:rsidRPr="00313585" w:rsidSect="002663C8">
      <w:pgSz w:w="16834" w:h="11909" w:orient="landscape" w:code="9"/>
      <w:pgMar w:top="1701" w:right="1134" w:bottom="851" w:left="1134" w:header="720" w:footer="720" w:gutter="0"/>
      <w:cols w:space="6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DC757" w14:textId="77777777" w:rsidR="00085074" w:rsidRDefault="00085074">
      <w:r>
        <w:separator/>
      </w:r>
    </w:p>
  </w:endnote>
  <w:endnote w:type="continuationSeparator" w:id="0">
    <w:p w14:paraId="6DEFE591" w14:textId="77777777" w:rsidR="00085074" w:rsidRDefault="00085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D72717" w14:textId="77777777" w:rsidR="00085074" w:rsidRDefault="00085074">
      <w:r>
        <w:separator/>
      </w:r>
    </w:p>
  </w:footnote>
  <w:footnote w:type="continuationSeparator" w:id="0">
    <w:p w14:paraId="49170745" w14:textId="77777777" w:rsidR="00085074" w:rsidRDefault="000850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BFA5D" w14:textId="7617E58D" w:rsidR="00F146B7" w:rsidRDefault="00F146B7" w:rsidP="00023AF8">
    <w:pPr>
      <w:pStyle w:val="Header"/>
    </w:pPr>
  </w:p>
  <w:p w14:paraId="2410B088" w14:textId="77777777" w:rsidR="00F146B7" w:rsidRDefault="00F146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1B4438"/>
    <w:multiLevelType w:val="hybridMultilevel"/>
    <w:tmpl w:val="AEA0B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2D8"/>
    <w:rsid w:val="00020940"/>
    <w:rsid w:val="00023AF8"/>
    <w:rsid w:val="00036A36"/>
    <w:rsid w:val="00057286"/>
    <w:rsid w:val="00057BB9"/>
    <w:rsid w:val="00085074"/>
    <w:rsid w:val="000B4AFA"/>
    <w:rsid w:val="000B56E4"/>
    <w:rsid w:val="000E71B0"/>
    <w:rsid w:val="001215B9"/>
    <w:rsid w:val="00124ED1"/>
    <w:rsid w:val="001737C8"/>
    <w:rsid w:val="001904AF"/>
    <w:rsid w:val="001A74C2"/>
    <w:rsid w:val="001F6169"/>
    <w:rsid w:val="00207817"/>
    <w:rsid w:val="0022356D"/>
    <w:rsid w:val="00235103"/>
    <w:rsid w:val="0024037A"/>
    <w:rsid w:val="002663C8"/>
    <w:rsid w:val="00296CF8"/>
    <w:rsid w:val="002B0CE3"/>
    <w:rsid w:val="002D15EC"/>
    <w:rsid w:val="002F4E42"/>
    <w:rsid w:val="00313585"/>
    <w:rsid w:val="003145FB"/>
    <w:rsid w:val="003633F0"/>
    <w:rsid w:val="00397238"/>
    <w:rsid w:val="00407C07"/>
    <w:rsid w:val="0041631F"/>
    <w:rsid w:val="00417165"/>
    <w:rsid w:val="00433E5D"/>
    <w:rsid w:val="00454385"/>
    <w:rsid w:val="004574C4"/>
    <w:rsid w:val="004801FC"/>
    <w:rsid w:val="0049267F"/>
    <w:rsid w:val="004C2FD5"/>
    <w:rsid w:val="004C4792"/>
    <w:rsid w:val="0050322F"/>
    <w:rsid w:val="00503F69"/>
    <w:rsid w:val="005203AC"/>
    <w:rsid w:val="005C5E64"/>
    <w:rsid w:val="005D74C9"/>
    <w:rsid w:val="005F622F"/>
    <w:rsid w:val="006272D8"/>
    <w:rsid w:val="0065353E"/>
    <w:rsid w:val="0075611A"/>
    <w:rsid w:val="00756ECA"/>
    <w:rsid w:val="007651AF"/>
    <w:rsid w:val="00787A3A"/>
    <w:rsid w:val="007B05F8"/>
    <w:rsid w:val="0081402A"/>
    <w:rsid w:val="00844C9D"/>
    <w:rsid w:val="008708AE"/>
    <w:rsid w:val="008A573E"/>
    <w:rsid w:val="00907A8F"/>
    <w:rsid w:val="0091381E"/>
    <w:rsid w:val="009324B1"/>
    <w:rsid w:val="009D02EB"/>
    <w:rsid w:val="00A0647A"/>
    <w:rsid w:val="00A144B3"/>
    <w:rsid w:val="00A3345E"/>
    <w:rsid w:val="00A76EEC"/>
    <w:rsid w:val="00A909B9"/>
    <w:rsid w:val="00AE57CE"/>
    <w:rsid w:val="00B13AA6"/>
    <w:rsid w:val="00B869E5"/>
    <w:rsid w:val="00BD3259"/>
    <w:rsid w:val="00BD5309"/>
    <w:rsid w:val="00BD5AA7"/>
    <w:rsid w:val="00BE4B84"/>
    <w:rsid w:val="00BE5A72"/>
    <w:rsid w:val="00C3151B"/>
    <w:rsid w:val="00C43974"/>
    <w:rsid w:val="00C93CDC"/>
    <w:rsid w:val="00CB3787"/>
    <w:rsid w:val="00CD5E9F"/>
    <w:rsid w:val="00CF4FE4"/>
    <w:rsid w:val="00D326F7"/>
    <w:rsid w:val="00D95F42"/>
    <w:rsid w:val="00DC39C6"/>
    <w:rsid w:val="00DC3A73"/>
    <w:rsid w:val="00DF741D"/>
    <w:rsid w:val="00E012CB"/>
    <w:rsid w:val="00E803A9"/>
    <w:rsid w:val="00EF3EC7"/>
    <w:rsid w:val="00F067E8"/>
    <w:rsid w:val="00F146B7"/>
    <w:rsid w:val="00F233B6"/>
    <w:rsid w:val="00F8746F"/>
    <w:rsid w:val="00FA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99F23"/>
  <w15:chartTrackingRefBased/>
  <w15:docId w15:val="{BA5582A4-7B14-43BA-84BE-28737CE0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53E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2D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272D8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272D8"/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customStyle="1" w:styleId="Default">
    <w:name w:val="Default"/>
    <w:rsid w:val="006272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3A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AF8"/>
    <w:rPr>
      <w:rFonts w:ascii="Times New Roman" w:eastAsia="Times New Roman" w:hAnsi="Times New Roman" w:cs="Times New Roman"/>
      <w:kern w:val="0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31358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3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3AC"/>
    <w:rPr>
      <w:rFonts w:ascii="Segoe UI" w:eastAsia="Times New Roman" w:hAnsi="Segoe UI" w:cs="Segoe UI"/>
      <w:kern w:val="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B2EF6-F84D-4928-AD67-4307362FC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Tiến Đoàn</dc:creator>
  <cp:keywords/>
  <dc:description/>
  <cp:lastModifiedBy>ADMIN</cp:lastModifiedBy>
  <cp:revision>3</cp:revision>
  <cp:lastPrinted>2025-04-16T10:33:00Z</cp:lastPrinted>
  <dcterms:created xsi:type="dcterms:W3CDTF">2025-04-17T01:50:00Z</dcterms:created>
  <dcterms:modified xsi:type="dcterms:W3CDTF">2025-04-17T02:30:00Z</dcterms:modified>
</cp:coreProperties>
</file>